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0C1FA" w14:textId="77777777" w:rsidR="00193013" w:rsidRDefault="003727ED">
      <w:pPr>
        <w:spacing w:after="241" w:line="259" w:lineRule="auto"/>
        <w:ind w:left="106" w:firstLine="0"/>
        <w:jc w:val="center"/>
      </w:pPr>
      <w:r>
        <w:rPr>
          <w:sz w:val="26"/>
          <w:u w:val="single" w:color="000000"/>
        </w:rPr>
        <w:t>ORDINANCE NO. 2024-15</w:t>
      </w:r>
    </w:p>
    <w:p w14:paraId="0FBE8BC9" w14:textId="77777777" w:rsidR="00193013" w:rsidRDefault="003727ED">
      <w:pPr>
        <w:spacing w:after="269" w:line="261" w:lineRule="auto"/>
        <w:ind w:left="91" w:hanging="5"/>
      </w:pPr>
      <w:r>
        <w:rPr>
          <w:sz w:val="26"/>
        </w:rPr>
        <w:t>AN ORDINANCE AMENDING THE GENERAL CODE OF THE TOWN OF HACKETTSTOWN TO UPDATE HANDICAPPED PARKING SPACES SET FORTH IN CHAPTER 13 ARTICLE 2 SECTION 13-19 SCHEDULE XV</w:t>
      </w:r>
    </w:p>
    <w:p w14:paraId="1C054A28" w14:textId="77777777" w:rsidR="00193013" w:rsidRDefault="003727ED">
      <w:pPr>
        <w:ind w:left="57" w:right="14"/>
      </w:pPr>
      <w:r>
        <w:t>WHEREAS, the Town of Hackettstown ("Town") is a public body corporate and politic of the State of New Jersey; and</w:t>
      </w:r>
    </w:p>
    <w:p w14:paraId="11FA937C" w14:textId="77777777" w:rsidR="00193013" w:rsidRDefault="003727ED">
      <w:pPr>
        <w:spacing w:after="253"/>
        <w:ind w:left="57" w:right="14"/>
      </w:pPr>
      <w:r>
        <w:t>WHEREAS, the General Ordinances ("Code") of the Town of Hackettstown currently lists the handicapped parking zones throughout the Town of Hackettstown; and</w:t>
      </w:r>
    </w:p>
    <w:p w14:paraId="54F8C34D" w14:textId="77777777" w:rsidR="00193013" w:rsidRDefault="003727ED">
      <w:pPr>
        <w:ind w:left="57" w:right="14"/>
      </w:pPr>
      <w:r>
        <w:t>WHEREAS, the Mayor and Common Council have determined it would be beneficial to add an additional handicapped parking space within the Town and desires to provide for same pursuant to N.J.S.A. 39:4-197.5; and</w:t>
      </w:r>
    </w:p>
    <w:p w14:paraId="66695735" w14:textId="77777777" w:rsidR="00193013" w:rsidRDefault="003727ED">
      <w:pPr>
        <w:ind w:left="57" w:right="14"/>
      </w:pPr>
      <w:r>
        <w:t>WHEREAS, in furtherance of the foregoing, the Town must update Schedule XV of Chapter 13, Article 2, Section 13-19 of the Code to identify the new restricted parking zone.</w:t>
      </w:r>
    </w:p>
    <w:p w14:paraId="72437E38" w14:textId="77777777" w:rsidR="00193013" w:rsidRDefault="003727ED">
      <w:pPr>
        <w:spacing w:after="518"/>
        <w:ind w:left="57" w:right="14"/>
      </w:pPr>
      <w:r>
        <w:t>Now THEREFORE BE IT ORDAINED by the Mayor and Common Council of the Town of Hackettstown that Chapter 13, Article 2, Section 14-19 Schedule XV of the Code shall be amended to add the following to the end of the list of existing locations:</w:t>
      </w:r>
    </w:p>
    <w:p w14:paraId="224E0EC0" w14:textId="77777777" w:rsidR="00193013" w:rsidRDefault="003727ED">
      <w:pPr>
        <w:spacing w:after="148" w:line="259" w:lineRule="auto"/>
        <w:ind w:left="48" w:hanging="10"/>
        <w:jc w:val="left"/>
      </w:pPr>
      <w:r>
        <w:rPr>
          <w:sz w:val="26"/>
          <w:u w:val="single" w:color="000000"/>
        </w:rPr>
        <w:t>SECTION 1</w:t>
      </w:r>
    </w:p>
    <w:p w14:paraId="27989E83" w14:textId="77777777" w:rsidR="00193013" w:rsidRDefault="003727ED">
      <w:pPr>
        <w:pStyle w:val="Heading1"/>
        <w:spacing w:after="252" w:line="259" w:lineRule="auto"/>
        <w:ind w:left="10" w:firstLine="0"/>
      </w:pPr>
      <w:r>
        <w:t>SCHEDULE XV</w:t>
      </w:r>
    </w:p>
    <w:p w14:paraId="2505DB5D" w14:textId="77777777" w:rsidR="00193013" w:rsidRDefault="003727ED">
      <w:pPr>
        <w:spacing w:after="9"/>
        <w:ind w:left="57" w:right="14" w:firstLine="0"/>
      </w:pPr>
      <w:r>
        <w:t>In accordance with the provisions of Section 13-19, no person shall park a vehicle in the following areas unless the vehicle is displaying the vehicle identification cards issued pursuant to N.J.S.A.</w:t>
      </w:r>
    </w:p>
    <w:p w14:paraId="6CBD351B" w14:textId="77777777" w:rsidR="00193013" w:rsidRDefault="003727ED">
      <w:pPr>
        <w:spacing w:after="90" w:line="259" w:lineRule="auto"/>
        <w:ind w:left="38" w:firstLine="0"/>
        <w:jc w:val="left"/>
      </w:pPr>
      <w:r>
        <w:rPr>
          <w:sz w:val="22"/>
        </w:rPr>
        <w:t>39.•4-206.</w:t>
      </w:r>
    </w:p>
    <w:tbl>
      <w:tblPr>
        <w:tblStyle w:val="TableGrid"/>
        <w:tblW w:w="9245" w:type="dxa"/>
        <w:tblInd w:w="24" w:type="dxa"/>
        <w:tblCellMar>
          <w:top w:w="2" w:type="dxa"/>
          <w:left w:w="0" w:type="dxa"/>
          <w:bottom w:w="28" w:type="dxa"/>
          <w:right w:w="0" w:type="dxa"/>
        </w:tblCellMar>
        <w:tblLook w:val="04A0" w:firstRow="1" w:lastRow="0" w:firstColumn="1" w:lastColumn="0" w:noHBand="0" w:noVBand="1"/>
      </w:tblPr>
      <w:tblGrid>
        <w:gridCol w:w="1613"/>
        <w:gridCol w:w="2688"/>
        <w:gridCol w:w="4944"/>
      </w:tblGrid>
      <w:tr w:rsidR="00193013" w14:paraId="33C3446C" w14:textId="77777777">
        <w:trPr>
          <w:trHeight w:val="386"/>
        </w:trPr>
        <w:tc>
          <w:tcPr>
            <w:tcW w:w="1613" w:type="dxa"/>
            <w:tcBorders>
              <w:top w:val="nil"/>
              <w:left w:val="nil"/>
              <w:bottom w:val="nil"/>
              <w:right w:val="nil"/>
            </w:tcBorders>
          </w:tcPr>
          <w:p w14:paraId="31AB4119" w14:textId="77777777" w:rsidR="00193013" w:rsidRDefault="003727ED">
            <w:pPr>
              <w:spacing w:after="0" w:line="259" w:lineRule="auto"/>
              <w:ind w:left="0" w:firstLine="0"/>
              <w:jc w:val="left"/>
            </w:pPr>
            <w:r>
              <w:rPr>
                <w:u w:val="single" w:color="000000"/>
              </w:rPr>
              <w:t>Name of Street</w:t>
            </w:r>
          </w:p>
        </w:tc>
        <w:tc>
          <w:tcPr>
            <w:tcW w:w="2688" w:type="dxa"/>
            <w:tcBorders>
              <w:top w:val="nil"/>
              <w:left w:val="nil"/>
              <w:bottom w:val="nil"/>
              <w:right w:val="nil"/>
            </w:tcBorders>
          </w:tcPr>
          <w:p w14:paraId="11ED3254" w14:textId="77777777" w:rsidR="00193013" w:rsidRDefault="003727ED">
            <w:pPr>
              <w:spacing w:after="0" w:line="259" w:lineRule="auto"/>
              <w:ind w:left="346" w:firstLine="0"/>
              <w:jc w:val="center"/>
            </w:pPr>
            <w:r>
              <w:rPr>
                <w:u w:val="single" w:color="000000"/>
              </w:rPr>
              <w:t>Sides</w:t>
            </w:r>
          </w:p>
        </w:tc>
        <w:tc>
          <w:tcPr>
            <w:tcW w:w="4944" w:type="dxa"/>
            <w:tcBorders>
              <w:top w:val="nil"/>
              <w:left w:val="nil"/>
              <w:bottom w:val="nil"/>
              <w:right w:val="nil"/>
            </w:tcBorders>
          </w:tcPr>
          <w:p w14:paraId="53B0769D" w14:textId="77777777" w:rsidR="00193013" w:rsidRDefault="003727ED">
            <w:pPr>
              <w:spacing w:after="0" w:line="259" w:lineRule="auto"/>
              <w:ind w:left="0" w:firstLine="0"/>
              <w:jc w:val="left"/>
            </w:pPr>
            <w:r>
              <w:rPr>
                <w:u w:val="single" w:color="000000"/>
              </w:rPr>
              <w:t>Location</w:t>
            </w:r>
          </w:p>
        </w:tc>
      </w:tr>
      <w:tr w:rsidR="00193013" w14:paraId="278504E1" w14:textId="77777777">
        <w:trPr>
          <w:trHeight w:val="431"/>
        </w:trPr>
        <w:tc>
          <w:tcPr>
            <w:tcW w:w="1613" w:type="dxa"/>
            <w:tcBorders>
              <w:top w:val="nil"/>
              <w:left w:val="nil"/>
              <w:bottom w:val="nil"/>
              <w:right w:val="nil"/>
            </w:tcBorders>
          </w:tcPr>
          <w:p w14:paraId="65249F7A" w14:textId="77777777" w:rsidR="00193013" w:rsidRDefault="003727ED">
            <w:pPr>
              <w:spacing w:after="0" w:line="259" w:lineRule="auto"/>
              <w:ind w:left="5" w:firstLine="0"/>
              <w:jc w:val="left"/>
            </w:pPr>
            <w:r>
              <w:t>Church Street</w:t>
            </w:r>
          </w:p>
        </w:tc>
        <w:tc>
          <w:tcPr>
            <w:tcW w:w="2688" w:type="dxa"/>
            <w:tcBorders>
              <w:top w:val="nil"/>
              <w:left w:val="nil"/>
              <w:bottom w:val="nil"/>
              <w:right w:val="nil"/>
            </w:tcBorders>
            <w:vAlign w:val="bottom"/>
          </w:tcPr>
          <w:p w14:paraId="4906E6A8" w14:textId="77777777" w:rsidR="00193013" w:rsidRDefault="003727ED">
            <w:pPr>
              <w:spacing w:after="0" w:line="259" w:lineRule="auto"/>
              <w:ind w:left="384" w:firstLine="0"/>
              <w:jc w:val="center"/>
            </w:pPr>
            <w:r>
              <w:t>South</w:t>
            </w:r>
          </w:p>
        </w:tc>
        <w:tc>
          <w:tcPr>
            <w:tcW w:w="4944" w:type="dxa"/>
            <w:tcBorders>
              <w:top w:val="nil"/>
              <w:left w:val="nil"/>
              <w:bottom w:val="nil"/>
              <w:right w:val="nil"/>
            </w:tcBorders>
            <w:vAlign w:val="bottom"/>
          </w:tcPr>
          <w:p w14:paraId="28CBA4FB" w14:textId="77777777" w:rsidR="00193013" w:rsidRDefault="003727ED">
            <w:pPr>
              <w:spacing w:after="0" w:line="259" w:lineRule="auto"/>
              <w:ind w:left="19" w:firstLine="0"/>
            </w:pPr>
            <w:r>
              <w:t>168 ft. south of Washington St. for a length of 25 ft.</w:t>
            </w:r>
          </w:p>
        </w:tc>
      </w:tr>
    </w:tbl>
    <w:p w14:paraId="35190175" w14:textId="77777777" w:rsidR="00193013" w:rsidRDefault="003727ED">
      <w:pPr>
        <w:spacing w:after="11" w:line="259" w:lineRule="auto"/>
        <w:ind w:left="48" w:hanging="10"/>
        <w:jc w:val="left"/>
      </w:pPr>
      <w:r>
        <w:rPr>
          <w:sz w:val="26"/>
          <w:u w:val="single" w:color="000000"/>
        </w:rPr>
        <w:t>SECTION 11.</w:t>
      </w:r>
      <w:r>
        <w:rPr>
          <w:sz w:val="26"/>
        </w:rPr>
        <w:t xml:space="preserve"> </w:t>
      </w:r>
      <w:r>
        <w:rPr>
          <w:sz w:val="26"/>
          <w:u w:val="single" w:color="000000"/>
        </w:rPr>
        <w:t>REPEALER</w:t>
      </w:r>
    </w:p>
    <w:p w14:paraId="1B59B78E" w14:textId="77777777" w:rsidR="00193013" w:rsidRDefault="003727ED">
      <w:pPr>
        <w:ind w:left="57" w:right="82" w:firstLine="14"/>
      </w:pPr>
      <w:r>
        <w:t xml:space="preserve">It is the intent of the Mayor and Common Council of the Town of Hackettstown to incorporate the additions, amendments and/or supplements contained in this Ordinance into the Code. All of the remaining provisions in Chapter 13, Article 2, Section 14-19 Schedule XV of the Code shall remain unchanged and have full force and legal effect. All other resolutions and ordinances </w:t>
      </w:r>
      <w:r>
        <w:lastRenderedPageBreak/>
        <w:t xml:space="preserve">goveming parking on Town streets enacted and inconsistent herewith are hereby modified pursuant to the </w:t>
      </w:r>
      <w:r>
        <w:t>terms of this Ordinance.</w:t>
      </w:r>
    </w:p>
    <w:p w14:paraId="5BE37217" w14:textId="77777777" w:rsidR="00193013" w:rsidRDefault="003727ED">
      <w:pPr>
        <w:spacing w:after="11" w:line="259" w:lineRule="auto"/>
        <w:ind w:left="48" w:hanging="10"/>
        <w:jc w:val="left"/>
      </w:pPr>
      <w:r>
        <w:rPr>
          <w:sz w:val="26"/>
          <w:u w:val="single" w:color="000000"/>
        </w:rPr>
        <w:t>SECTION 111.</w:t>
      </w:r>
      <w:r>
        <w:rPr>
          <w:sz w:val="26"/>
        </w:rPr>
        <w:t xml:space="preserve"> </w:t>
      </w:r>
      <w:r>
        <w:rPr>
          <w:sz w:val="26"/>
          <w:u w:val="single" w:color="000000"/>
        </w:rPr>
        <w:t>EFFECTIVE DATE</w:t>
      </w:r>
      <w:r>
        <w:rPr>
          <w:sz w:val="26"/>
        </w:rPr>
        <w:t>:</w:t>
      </w:r>
    </w:p>
    <w:p w14:paraId="3F9CBC57" w14:textId="77777777" w:rsidR="00193013" w:rsidRDefault="003727ED">
      <w:pPr>
        <w:spacing w:after="1852"/>
        <w:ind w:left="57" w:right="14" w:firstLine="0"/>
      </w:pPr>
      <w:r>
        <w:t>A copy of this Ordinance shall be available for public inspection at the offices of the Town Clerk.</w:t>
      </w:r>
    </w:p>
    <w:p w14:paraId="7AF2233A" w14:textId="77777777" w:rsidR="00193013" w:rsidRDefault="003727ED">
      <w:pPr>
        <w:spacing w:after="3" w:line="259" w:lineRule="auto"/>
        <w:ind w:left="1791" w:right="1718" w:hanging="10"/>
        <w:jc w:val="center"/>
      </w:pPr>
      <w:r>
        <w:t>ORDINANCE 2024-09- NOTICE</w:t>
      </w:r>
    </w:p>
    <w:p w14:paraId="363E6F2B" w14:textId="437AFDFE" w:rsidR="00193013" w:rsidRDefault="003727ED">
      <w:pPr>
        <w:spacing w:after="519" w:line="249" w:lineRule="auto"/>
        <w:ind w:left="48" w:firstLine="0"/>
        <w:jc w:val="left"/>
      </w:pPr>
      <w:r>
        <w:t>Notice is hereby given that the aforesaid ordinance was introduced at a regular meeting of the Common Council of the Town of Hackettstown, New Jersey, held on July 1</w:t>
      </w:r>
      <w:r>
        <w:t>1, 2024, and that a regular meeting of the same to be held on August 22</w:t>
      </w:r>
      <w:r>
        <w:t>, 2024 at the Municipal Building, 215 Stiger Street, Hackettstown, New Jersey, at the hour 7:00 0'clock in the evening, the said Common Council will consider the final passage of said ordinance.</w:t>
      </w:r>
    </w:p>
    <w:p w14:paraId="143B8B48" w14:textId="77777777" w:rsidR="00193013" w:rsidRDefault="003727ED">
      <w:pPr>
        <w:spacing w:after="22" w:line="259" w:lineRule="auto"/>
        <w:ind w:left="4339" w:firstLine="0"/>
        <w:jc w:val="left"/>
      </w:pPr>
      <w:r>
        <w:rPr>
          <w:rFonts w:ascii="Calibri" w:eastAsia="Calibri" w:hAnsi="Calibri" w:cs="Calibri"/>
          <w:noProof/>
          <w:sz w:val="22"/>
        </w:rPr>
        <mc:AlternateContent>
          <mc:Choice Requires="wpg">
            <w:drawing>
              <wp:inline distT="0" distB="0" distL="0" distR="0" wp14:anchorId="26155000" wp14:editId="1AAAC893">
                <wp:extent cx="2286000" cy="9147"/>
                <wp:effectExtent l="0" t="0" r="0" b="0"/>
                <wp:docPr id="5585" name="Group 5585"/>
                <wp:cNvGraphicFramePr/>
                <a:graphic xmlns:a="http://schemas.openxmlformats.org/drawingml/2006/main">
                  <a:graphicData uri="http://schemas.microsoft.com/office/word/2010/wordprocessingGroup">
                    <wpg:wgp>
                      <wpg:cNvGrpSpPr/>
                      <wpg:grpSpPr>
                        <a:xfrm>
                          <a:off x="0" y="0"/>
                          <a:ext cx="2286000" cy="9147"/>
                          <a:chOff x="0" y="0"/>
                          <a:chExt cx="2286000" cy="9147"/>
                        </a:xfrm>
                      </wpg:grpSpPr>
                      <wps:wsp>
                        <wps:cNvPr id="5584" name="Shape 5584"/>
                        <wps:cNvSpPr/>
                        <wps:spPr>
                          <a:xfrm>
                            <a:off x="0" y="0"/>
                            <a:ext cx="2286000" cy="9147"/>
                          </a:xfrm>
                          <a:custGeom>
                            <a:avLst/>
                            <a:gdLst/>
                            <a:ahLst/>
                            <a:cxnLst/>
                            <a:rect l="0" t="0" r="0" b="0"/>
                            <a:pathLst>
                              <a:path w="2286000" h="9147">
                                <a:moveTo>
                                  <a:pt x="0" y="4573"/>
                                </a:moveTo>
                                <a:lnTo>
                                  <a:pt x="22860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85" style="width:180pt;height:0.720215pt;mso-position-horizontal-relative:char;mso-position-vertical-relative:line" coordsize="22860,91">
                <v:shape id="Shape 5584" style="position:absolute;width:22860;height:91;left:0;top:0;" coordsize="2286000,9147" path="m0,4573l2286000,4573">
                  <v:stroke weight="0.720215pt" endcap="flat" joinstyle="miter" miterlimit="1" on="true" color="#000000"/>
                  <v:fill on="false" color="#000000"/>
                </v:shape>
              </v:group>
            </w:pict>
          </mc:Fallback>
        </mc:AlternateContent>
      </w:r>
    </w:p>
    <w:p w14:paraId="4B5B07A5" w14:textId="77777777" w:rsidR="00193013" w:rsidRDefault="003727ED">
      <w:pPr>
        <w:spacing w:after="3" w:line="259" w:lineRule="auto"/>
        <w:ind w:left="1791" w:right="1574" w:hanging="10"/>
        <w:jc w:val="center"/>
      </w:pPr>
      <w:r>
        <w:t>P.J. Reilly</w:t>
      </w:r>
    </w:p>
    <w:p w14:paraId="7E413182" w14:textId="77777777" w:rsidR="00193013" w:rsidRDefault="003727ED">
      <w:pPr>
        <w:spacing w:after="3" w:line="259" w:lineRule="auto"/>
        <w:ind w:left="1791" w:hanging="10"/>
        <w:jc w:val="center"/>
      </w:pPr>
      <w:r>
        <w:t>Town Clerk/Administrator</w:t>
      </w:r>
    </w:p>
    <w:sectPr w:rsidR="00193013">
      <w:pgSz w:w="12240" w:h="15840"/>
      <w:pgMar w:top="1548" w:right="1325" w:bottom="2068"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13"/>
    <w:rsid w:val="00193013"/>
    <w:rsid w:val="003727ED"/>
    <w:rsid w:val="00B6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AAC5"/>
  <w15:docId w15:val="{FCF87F47-5510-491C-A495-EF2F3477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line="273" w:lineRule="auto"/>
      <w:ind w:left="86" w:firstLine="72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9" w:line="261" w:lineRule="auto"/>
      <w:ind w:left="91" w:hanging="5"/>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SKM_368e24071211210</dc:title>
  <dc:subject/>
  <dc:creator>Mary</dc:creator>
  <cp:keywords/>
  <cp:lastModifiedBy>Mary</cp:lastModifiedBy>
  <cp:revision>2</cp:revision>
  <dcterms:created xsi:type="dcterms:W3CDTF">2024-08-26T18:42:00Z</dcterms:created>
  <dcterms:modified xsi:type="dcterms:W3CDTF">2024-08-26T18:42:00Z</dcterms:modified>
</cp:coreProperties>
</file>